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#11</w:t>
      </w:r>
      <w:r>
        <w:rPr>
          <w:rFonts w:hint="eastAsia" w:eastAsia="宋体"/>
          <w:lang w:val="en-US" w:eastAsia="zh-CN"/>
        </w:rPr>
        <w:t>9-e                      R2-2207648</w:t>
      </w:r>
    </w:p>
    <w:p>
      <w:pPr>
        <w:pStyle w:val="8"/>
        <w:rPr>
          <w:lang w:val="en-GB"/>
        </w:rPr>
      </w:pPr>
      <w:r>
        <w:rPr>
          <w:b/>
          <w:bCs/>
          <w:sz w:val="24"/>
        </w:rPr>
        <w:t>Electronic</w:t>
      </w:r>
      <w:r>
        <w:rPr>
          <w:lang w:val="en-GB"/>
        </w:rPr>
        <w:t xml:space="preserve">, </w:t>
      </w:r>
      <w:r>
        <w:rPr>
          <w:rFonts w:hint="eastAsia" w:eastAsia="宋体"/>
          <w:lang w:val="en-US" w:eastAsia="zh-CN"/>
        </w:rPr>
        <w:t>Aug</w:t>
      </w:r>
      <w:r>
        <w:t xml:space="preserve"> </w:t>
      </w:r>
      <w:r>
        <w:rPr>
          <w:rFonts w:hint="eastAsia" w:eastAsia="宋体"/>
          <w:lang w:val="en-US" w:eastAsia="zh-CN"/>
        </w:rPr>
        <w:t>17</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2</w:t>
      </w:r>
      <w:r>
        <w:rPr>
          <w:rFonts w:hint="eastAsia" w:eastAsia="宋体"/>
          <w:lang w:val="en-US" w:eastAsia="zh-CN"/>
        </w:rPr>
        <w:t>6</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Discussion on</w:t>
      </w:r>
      <w:bookmarkEnd w:id="0"/>
      <w:r>
        <w:rPr>
          <w:rFonts w:hint="eastAsia" w:eastAsia="宋体" w:cs="Arial"/>
          <w:b/>
          <w:bCs/>
          <w:sz w:val="24"/>
          <w:lang w:val="en-US" w:eastAsia="zh-CN"/>
        </w:rPr>
        <w:t xml:space="preserve"> mobility enhancement for IoT NTN </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r>
        <w:rPr>
          <w:rFonts w:hint="default" w:ascii="Times New Roman" w:hAnsi="Times New Roman" w:cs="Times New Roman"/>
          <w:sz w:val="22"/>
          <w:szCs w:val="22"/>
        </w:rPr>
        <w:t>At the RAN#95e and RAN#96e meetings, a new Work Item was approved for IoT NTN</w:t>
      </w:r>
      <w:r>
        <w:rPr>
          <w:rFonts w:hint="default" w:ascii="Times New Roman" w:hAnsi="Times New Roman" w:eastAsia="宋体" w:cs="Times New Roman"/>
          <w:sz w:val="22"/>
          <w:szCs w:val="22"/>
          <w:lang w:val="en-US" w:eastAsia="zh-CN"/>
        </w:rPr>
        <w:t xml:space="preserve">. The WID objectives concerning RAN2 </w:t>
      </w:r>
      <w:r>
        <w:rPr>
          <w:rFonts w:hint="default" w:ascii="Times New Roman" w:hAnsi="Times New Roman" w:eastAsia="宋体" w:cs="Times New Roman"/>
          <w:color w:val="000000"/>
          <w:sz w:val="22"/>
          <w:szCs w:val="22"/>
          <w:lang w:val="en-US" w:eastAsia="zh-CN"/>
        </w:rPr>
        <w:t>are listed</w:t>
      </w:r>
      <w:r>
        <w:rPr>
          <w:rFonts w:hint="default" w:ascii="Times New Roman" w:hAnsi="Times New Roman" w:eastAsia="Arial" w:cs="Times New Roman"/>
          <w:color w:val="000000"/>
          <w:sz w:val="22"/>
          <w:szCs w:val="22"/>
        </w:rPr>
        <w:t xml:space="preserve"> in the table below:</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Performance Enhancements:</w:t>
            </w:r>
          </w:p>
          <w:p>
            <w:pPr>
              <w:pStyle w:val="20"/>
              <w:keepNext w:val="0"/>
              <w:keepLines w:val="0"/>
              <w:widowControl w:val="0"/>
              <w:suppressLineNumbers w:val="0"/>
              <w:spacing w:beforeAutospacing="0" w:after="0" w:afterAutospacing="0"/>
              <w:ind w:left="684" w:leftChars="342" w:right="0" w:firstLine="118" w:firstLineChars="59"/>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Disabling of HARQ feedback to mitigate impact of HARQ stalling on UE data rates [RAN1,RAN2]</w:t>
            </w:r>
          </w:p>
          <w:p>
            <w:pPr>
              <w:pStyle w:val="20"/>
              <w:keepNext w:val="0"/>
              <w:keepLines w:val="0"/>
              <w:widowControl w:val="0"/>
              <w:suppressLineNumbers w:val="0"/>
              <w:spacing w:beforeAutospacing="0" w:after="0" w:afterAutospacing="0"/>
              <w:ind w:left="684" w:leftChars="342" w:right="0" w:firstLine="118" w:firstLineChars="59"/>
              <w:jc w:val="both"/>
              <w:rPr>
                <w:rFonts w:hint="default" w:ascii="Times New Roman" w:hAnsi="Times New Roman" w:cs="Times New Roman"/>
                <w:sz w:val="20"/>
              </w:rPr>
            </w:pPr>
          </w:p>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Mobility Enhancements:</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Support of neighbour cell</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 xml:space="preserve"> measurements and corresponding measurement triggering before RLF, using Rel</w:t>
            </w:r>
            <w:r>
              <w:rPr>
                <w:rFonts w:hint="default" w:ascii="Times New Roman" w:hAnsi="Times New Roman" w:cs="Times New Roman"/>
                <w:sz w:val="21"/>
              </w:rPr>
              <w:noBreakHyphen/>
            </w:r>
            <w:r>
              <w:rPr>
                <w:rFonts w:hint="default" w:ascii="Times New Roman" w:hAnsi="Times New Roman" w:cs="Times New Roman"/>
                <w:sz w:val="21"/>
              </w:rPr>
              <w:t>17 (TN)</w:t>
            </w:r>
            <w:r>
              <w:rPr>
                <w:rFonts w:hint="default" w:ascii="Times New Roman" w:hAnsi="Times New Roman" w:cs="Times New Roman"/>
                <w:sz w:val="20"/>
              </w:rPr>
              <w:t xml:space="preserve"> NB-IoT, eMTC as a</w:t>
            </w:r>
            <w:r>
              <w:rPr>
                <w:rFonts w:hint="default" w:ascii="Times New Roman" w:hAnsi="Times New Roman" w:cs="Times New Roman"/>
                <w:sz w:val="21"/>
              </w:rPr>
              <w:t xml:space="preserve"> baseline. [RAN2]</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Re-use the solutions introduced in Rel-17 NR NTN for mobility enhancements for eMTC, with minimum necessary changes to adapt them</w:t>
            </w:r>
            <w:r>
              <w:rPr>
                <w:rFonts w:hint="default" w:ascii="Times New Roman" w:hAnsi="Times New Roman" w:cs="Times New Roman"/>
                <w:sz w:val="21"/>
                <w:highlight w:val="none"/>
              </w:rPr>
              <w:t xml:space="preserve"> to eMTC [</w:t>
            </w:r>
            <w:r>
              <w:rPr>
                <w:rFonts w:hint="default" w:ascii="Times New Roman" w:hAnsi="Times New Roman" w:cs="Times New Roman"/>
                <w:sz w:val="21"/>
              </w:rPr>
              <w:t>RAN2]</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p>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Discontinuous coverage:</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Study and specify, if needed, mobility management enhancements and power saving enhancements for discontinuous coverage, taking into account the conclusions from the SA2 study FS_5GSAT_Ph2.  [RAN2, RAN3].</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 xml:space="preserve">e provide our views on </w:t>
      </w:r>
      <w:r>
        <w:rPr>
          <w:rFonts w:hint="eastAsia" w:ascii="Times New Roman" w:hAnsi="Times New Roman" w:eastAsia="宋体" w:cs="Times New Roman"/>
          <w:lang w:val="en-US" w:eastAsia="zh-CN"/>
        </w:rPr>
        <w:t>m</w:t>
      </w:r>
      <w:r>
        <w:rPr>
          <w:rFonts w:hint="default" w:ascii="Times New Roman" w:hAnsi="Times New Roman" w:cs="Times New Roman"/>
          <w:sz w:val="20"/>
        </w:rPr>
        <w:t xml:space="preserve">obility </w:t>
      </w:r>
      <w:r>
        <w:rPr>
          <w:rFonts w:hint="eastAsia" w:ascii="Times New Roman" w:hAnsi="Times New Roman" w:eastAsia="宋体" w:cs="Times New Roman"/>
          <w:sz w:val="20"/>
          <w:lang w:val="en-US" w:eastAsia="zh-CN"/>
        </w:rPr>
        <w:t>e</w:t>
      </w:r>
      <w:r>
        <w:rPr>
          <w:rFonts w:hint="default" w:ascii="Times New Roman" w:hAnsi="Times New Roman" w:cs="Times New Roman"/>
          <w:sz w:val="20"/>
        </w:rPr>
        <w:t>nhancement</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 xml:space="preserve">Discussion </w:t>
      </w:r>
    </w:p>
    <w:p>
      <w:pPr>
        <w:pStyle w:val="3"/>
        <w:numPr>
          <w:ilvl w:val="0"/>
          <w:numId w:val="0"/>
        </w:numPr>
        <w:bidi w:val="0"/>
        <w:ind w:leftChars="0"/>
        <w:rPr>
          <w:rFonts w:hint="default" w:eastAsia="宋体"/>
          <w:lang w:val="en-US" w:eastAsia="zh-CN"/>
        </w:rPr>
      </w:pPr>
      <w:r>
        <w:rPr>
          <w:rFonts w:hint="eastAsia"/>
          <w:lang w:val="en-US" w:eastAsia="zh-CN"/>
        </w:rPr>
        <w:t xml:space="preserve">2.1 </w:t>
      </w:r>
      <w:r>
        <w:t>Mobility Enhancements</w:t>
      </w:r>
    </w:p>
    <w:p>
      <w:pPr>
        <w:jc w:val="both"/>
        <w:rPr>
          <w:rFonts w:hint="eastAsia" w:ascii="Times New Roman" w:hAnsi="Times New Roman"/>
          <w:sz w:val="20"/>
          <w:szCs w:val="20"/>
          <w:lang w:val="en-US" w:eastAsia="zh-CN"/>
        </w:rPr>
      </w:pPr>
      <w:r>
        <w:rPr>
          <w:rFonts w:hint="eastAsia" w:ascii="Times New Roman" w:hAnsi="Times New Roman"/>
          <w:sz w:val="20"/>
          <w:szCs w:val="20"/>
          <w:lang w:val="en-GB"/>
        </w:rPr>
        <w:t>For</w:t>
      </w:r>
      <w:r>
        <w:rPr>
          <w:rFonts w:ascii="Times New Roman" w:hAnsi="Times New Roman"/>
          <w:sz w:val="20"/>
          <w:szCs w:val="20"/>
          <w:lang w:val="en-GB"/>
        </w:rPr>
        <w:t xml:space="preserve"> </w:t>
      </w:r>
      <w:r>
        <w:rPr>
          <w:rFonts w:hint="eastAsia" w:ascii="Times New Roman" w:hAnsi="Times New Roman"/>
          <w:sz w:val="20"/>
          <w:szCs w:val="20"/>
          <w:lang w:val="en-GB"/>
        </w:rPr>
        <w:t>N</w:t>
      </w:r>
      <w:r>
        <w:rPr>
          <w:rFonts w:ascii="Times New Roman" w:hAnsi="Times New Roman"/>
          <w:sz w:val="20"/>
          <w:szCs w:val="20"/>
          <w:lang w:val="en-GB"/>
        </w:rPr>
        <w:t>B-I</w:t>
      </w:r>
      <w:r>
        <w:rPr>
          <w:rFonts w:hint="eastAsia" w:ascii="Times New Roman" w:hAnsi="Times New Roman" w:eastAsia="宋体"/>
          <w:sz w:val="20"/>
          <w:szCs w:val="20"/>
          <w:lang w:val="en-US" w:eastAsia="zh-CN"/>
        </w:rPr>
        <w:t>o</w:t>
      </w:r>
      <w:r>
        <w:rPr>
          <w:rFonts w:hint="eastAsia" w:ascii="Times New Roman" w:hAnsi="Times New Roman"/>
          <w:sz w:val="20"/>
          <w:szCs w:val="20"/>
          <w:lang w:val="en-GB"/>
        </w:rPr>
        <w:t>T</w:t>
      </w:r>
      <w:r>
        <w:rPr>
          <w:rFonts w:ascii="Times New Roman" w:hAnsi="Times New Roman"/>
          <w:sz w:val="20"/>
          <w:szCs w:val="20"/>
          <w:lang w:val="en-GB"/>
        </w:rPr>
        <w:t xml:space="preserve"> UE</w:t>
      </w:r>
      <w:r>
        <w:rPr>
          <w:rFonts w:hint="eastAsia" w:ascii="Times New Roman" w:hAnsi="Times New Roman" w:eastAsia="宋体"/>
          <w:sz w:val="20"/>
          <w:szCs w:val="20"/>
          <w:lang w:val="en-US" w:eastAsia="zh-CN"/>
        </w:rPr>
        <w:t>s</w:t>
      </w:r>
      <w:r>
        <w:rPr>
          <w:rFonts w:ascii="Times New Roman" w:hAnsi="Times New Roman"/>
          <w:sz w:val="20"/>
          <w:szCs w:val="20"/>
          <w:lang w:val="en-GB"/>
        </w:rPr>
        <w:t>, considering UE power saving, there is no measurement configuration and measurement report procedure for UE in connected mode, the UE could trigger the RRC connection re-establishment procedure</w:t>
      </w:r>
      <w:r>
        <w:rPr>
          <w:rFonts w:hint="eastAsia" w:ascii="Times New Roman" w:hAnsi="Times New Roman" w:eastAsia="宋体"/>
          <w:sz w:val="20"/>
          <w:szCs w:val="20"/>
          <w:lang w:val="en-US" w:eastAsia="zh-CN"/>
        </w:rPr>
        <w:t xml:space="preserve"> for connected mode</w:t>
      </w:r>
      <w:r>
        <w:rPr>
          <w:rFonts w:hint="eastAsia" w:ascii="Times New Roman" w:hAnsi="Times New Roman"/>
          <w:sz w:val="20"/>
          <w:szCs w:val="20"/>
          <w:lang w:val="en-US" w:eastAsia="zh-CN"/>
        </w:rPr>
        <w:t xml:space="preserve"> mobility</w:t>
      </w:r>
      <w:r>
        <w:rPr>
          <w:rFonts w:ascii="Times New Roman" w:hAnsi="Times New Roman"/>
          <w:sz w:val="20"/>
          <w:szCs w:val="20"/>
          <w:lang w:val="en-GB"/>
        </w:rPr>
        <w:t>.</w:t>
      </w:r>
      <w:r>
        <w:rPr>
          <w:rFonts w:hint="eastAsia" w:ascii="Times New Roman" w:hAnsi="Times New Roman"/>
          <w:sz w:val="20"/>
          <w:szCs w:val="20"/>
          <w:lang w:val="en-US" w:eastAsia="zh-CN"/>
        </w:rPr>
        <w:t xml:space="preserve"> In order to </w:t>
      </w:r>
      <w:r>
        <w:rPr>
          <w:rFonts w:ascii="Times New Roman" w:hAnsi="Times New Roman"/>
          <w:sz w:val="20"/>
          <w:szCs w:val="20"/>
          <w:lang w:val="en-GB" w:eastAsia="zh-CN"/>
        </w:rPr>
        <w:t xml:space="preserve">reduce the time </w:t>
      </w:r>
      <w:r>
        <w:rPr>
          <w:rFonts w:hint="eastAsia" w:ascii="Times New Roman" w:hAnsi="Times New Roman"/>
          <w:sz w:val="20"/>
          <w:szCs w:val="20"/>
          <w:lang w:val="en-US" w:eastAsia="zh-CN"/>
        </w:rPr>
        <w:t>required</w:t>
      </w:r>
      <w:r>
        <w:rPr>
          <w:rFonts w:ascii="Times New Roman" w:hAnsi="Times New Roman"/>
          <w:sz w:val="20"/>
          <w:szCs w:val="20"/>
          <w:lang w:val="en-GB" w:eastAsia="zh-CN"/>
        </w:rPr>
        <w:t xml:space="preserve"> for RRC reestablishment</w:t>
      </w:r>
      <w:r>
        <w:rPr>
          <w:rFonts w:hint="eastAsia" w:ascii="Times New Roman" w:hAnsi="Times New Roman"/>
          <w:sz w:val="20"/>
          <w:szCs w:val="20"/>
          <w:lang w:val="en-US" w:eastAsia="zh-CN"/>
        </w:rPr>
        <w:t xml:space="preserve">, the feature of supporting </w:t>
      </w:r>
      <w:r>
        <w:rPr>
          <w:rFonts w:ascii="Times New Roman" w:hAnsi="Times New Roman"/>
          <w:sz w:val="20"/>
          <w:szCs w:val="20"/>
          <w:lang w:val="en-GB"/>
        </w:rPr>
        <w:t>neighbor cell measurements and corresponding measurement triggering before RLF</w:t>
      </w:r>
      <w:r>
        <w:rPr>
          <w:rFonts w:hint="eastAsia" w:ascii="Times New Roman" w:hAnsi="Times New Roman"/>
          <w:sz w:val="20"/>
          <w:szCs w:val="20"/>
          <w:lang w:val="en-US" w:eastAsia="zh-CN"/>
        </w:rPr>
        <w:t xml:space="preserve"> has been introduced in R17 </w:t>
      </w:r>
      <w:r>
        <w:rPr>
          <w:rFonts w:ascii="Times New Roman" w:hAnsi="Times New Roman"/>
          <w:sz w:val="20"/>
          <w:szCs w:val="20"/>
          <w:lang w:val="en-GB"/>
        </w:rPr>
        <w:t>NB-IoT</w:t>
      </w:r>
      <w:r>
        <w:rPr>
          <w:rFonts w:hint="eastAsia" w:ascii="Times New Roman" w:hAnsi="Times New Roman"/>
          <w:sz w:val="20"/>
          <w:szCs w:val="20"/>
          <w:lang w:val="en-US" w:eastAsia="zh-CN"/>
        </w:rPr>
        <w:t xml:space="preserve">. The measurement triggering quantity is based on RSRP, which works well for the terrestrial network as </w:t>
      </w:r>
      <w:r>
        <w:rPr>
          <w:rFonts w:ascii="Times New Roman" w:hAnsi="Times New Roman"/>
          <w:sz w:val="20"/>
          <w:szCs w:val="20"/>
          <w:lang w:val="en-GB"/>
        </w:rPr>
        <w:t>a UE can determine</w:t>
      </w:r>
      <w:r>
        <w:rPr>
          <w:rFonts w:hint="eastAsia" w:ascii="Times New Roman" w:hAnsi="Times New Roman" w:eastAsia="宋体"/>
          <w:sz w:val="20"/>
          <w:szCs w:val="20"/>
          <w:lang w:val="en-US" w:eastAsia="zh-CN"/>
        </w:rPr>
        <w:t xml:space="preserve"> that</w:t>
      </w:r>
      <w:r>
        <w:rPr>
          <w:rFonts w:ascii="Times New Roman" w:hAnsi="Times New Roman"/>
          <w:sz w:val="20"/>
          <w:szCs w:val="20"/>
          <w:lang w:val="en-GB"/>
        </w:rPr>
        <w:t xml:space="preserve"> it is </w:t>
      </w:r>
      <w:r>
        <w:rPr>
          <w:rFonts w:hint="eastAsia" w:ascii="Times New Roman" w:hAnsi="Times New Roman" w:eastAsia="宋体"/>
          <w:sz w:val="20"/>
          <w:szCs w:val="20"/>
          <w:lang w:val="en-US" w:eastAsia="zh-CN"/>
        </w:rPr>
        <w:t>close to the</w:t>
      </w:r>
      <w:r>
        <w:rPr>
          <w:rFonts w:ascii="Times New Roman" w:hAnsi="Times New Roman"/>
          <w:sz w:val="20"/>
          <w:szCs w:val="20"/>
          <w:lang w:val="en-GB"/>
        </w:rPr>
        <w:t xml:space="preserve"> cell edge due </w:t>
      </w:r>
      <w:r>
        <w:rPr>
          <w:rFonts w:hint="eastAsia" w:ascii="Times New Roman" w:hAnsi="Times New Roman"/>
          <w:sz w:val="20"/>
          <w:szCs w:val="20"/>
          <w:lang w:val="en-GB" w:eastAsia="zh-CN"/>
        </w:rPr>
        <w:t xml:space="preserve">to </w:t>
      </w:r>
      <w:r>
        <w:rPr>
          <w:rFonts w:ascii="Times New Roman" w:hAnsi="Times New Roman"/>
          <w:sz w:val="20"/>
          <w:szCs w:val="20"/>
          <w:lang w:val="en-GB"/>
        </w:rPr>
        <w:t xml:space="preserve">a </w:t>
      </w:r>
      <w:r>
        <w:rPr>
          <w:rFonts w:hint="eastAsia" w:ascii="Times New Roman" w:hAnsi="Times New Roman" w:eastAsia="宋体"/>
          <w:sz w:val="20"/>
          <w:szCs w:val="20"/>
          <w:lang w:val="en-US" w:eastAsia="zh-CN"/>
        </w:rPr>
        <w:t>significant</w:t>
      </w:r>
      <w:r>
        <w:rPr>
          <w:rFonts w:ascii="Times New Roman" w:hAnsi="Times New Roman"/>
          <w:sz w:val="20"/>
          <w:szCs w:val="20"/>
          <w:lang w:val="en-GB"/>
        </w:rPr>
        <w:t xml:space="preserve"> difference in RSRP compared to cell center. </w:t>
      </w:r>
      <w:r>
        <w:rPr>
          <w:rFonts w:hint="eastAsia" w:ascii="Times New Roman" w:hAnsi="Times New Roman" w:eastAsia="宋体"/>
          <w:sz w:val="20"/>
          <w:szCs w:val="20"/>
          <w:lang w:val="en-US" w:eastAsia="zh-CN"/>
        </w:rPr>
        <w:t>However s</w:t>
      </w:r>
      <w:r>
        <w:rPr>
          <w:rFonts w:ascii="Times New Roman" w:hAnsi="Times New Roman"/>
          <w:sz w:val="20"/>
          <w:szCs w:val="20"/>
          <w:lang w:val="en-GB"/>
        </w:rPr>
        <w:t xml:space="preserve">uch an effect may not be as pronounced in non-terrestrial </w:t>
      </w:r>
      <w:r>
        <w:rPr>
          <w:rFonts w:hint="eastAsia" w:ascii="Times New Roman" w:hAnsi="Times New Roman" w:eastAsia="宋体"/>
          <w:sz w:val="20"/>
          <w:szCs w:val="20"/>
          <w:lang w:val="en-US" w:eastAsia="zh-CN"/>
        </w:rPr>
        <w:t>network</w:t>
      </w:r>
      <w:r>
        <w:rPr>
          <w:rFonts w:ascii="Times New Roman" w:hAnsi="Times New Roman"/>
          <w:sz w:val="20"/>
          <w:szCs w:val="20"/>
          <w:lang w:val="en-GB"/>
        </w:rPr>
        <w:t xml:space="preserve">, </w:t>
      </w:r>
      <w:r>
        <w:rPr>
          <w:rFonts w:hint="eastAsia" w:ascii="Times New Roman" w:hAnsi="Times New Roman" w:eastAsia="宋体"/>
          <w:sz w:val="20"/>
          <w:szCs w:val="20"/>
          <w:lang w:val="en-US" w:eastAsia="zh-CN"/>
        </w:rPr>
        <w:t>because the difference</w:t>
      </w:r>
      <w:r>
        <w:rPr>
          <w:rFonts w:ascii="Times New Roman" w:hAnsi="Times New Roman"/>
          <w:sz w:val="20"/>
          <w:szCs w:val="20"/>
          <w:lang w:val="en-GB"/>
        </w:rPr>
        <w:t xml:space="preserve"> in signal strength between</w:t>
      </w:r>
      <w:r>
        <w:rPr>
          <w:rFonts w:hint="eastAsia" w:ascii="Times New Roman" w:hAnsi="Times New Roman" w:eastAsia="宋体"/>
          <w:sz w:val="20"/>
          <w:szCs w:val="20"/>
          <w:lang w:val="en-US" w:eastAsia="zh-CN"/>
        </w:rPr>
        <w:t xml:space="preserve"> the cell edge and the cell center is small, as shown in Figu</w:t>
      </w:r>
      <w:r>
        <w:rPr>
          <w:rFonts w:hint="eastAsia" w:ascii="Times New Roman" w:hAnsi="Times New Roman"/>
          <w:sz w:val="20"/>
          <w:szCs w:val="20"/>
          <w:lang w:val="en-US" w:eastAsia="zh-CN"/>
        </w:rPr>
        <w:t>re 1</w:t>
      </w:r>
      <w:r>
        <w:rPr>
          <w:rFonts w:ascii="Times New Roman" w:hAnsi="Times New Roman"/>
          <w:sz w:val="20"/>
          <w:szCs w:val="20"/>
          <w:lang w:val="en-GB"/>
        </w:rPr>
        <w:t>.</w:t>
      </w:r>
      <w:r>
        <w:rPr>
          <w:rFonts w:hint="eastAsia" w:ascii="Times New Roman" w:hAnsi="Times New Roman"/>
          <w:sz w:val="20"/>
          <w:szCs w:val="20"/>
          <w:lang w:val="en-US" w:eastAsia="zh-CN"/>
        </w:rPr>
        <w:t xml:space="preserve"> So measurement triggering quantity of RSRP may not work well for </w:t>
      </w:r>
      <w:r>
        <w:rPr>
          <w:rFonts w:ascii="Times New Roman" w:hAnsi="Times New Roman"/>
          <w:sz w:val="20"/>
          <w:szCs w:val="20"/>
          <w:lang w:val="en-GB"/>
        </w:rPr>
        <w:t xml:space="preserve">non-terrestrial </w:t>
      </w:r>
      <w:r>
        <w:rPr>
          <w:rFonts w:hint="eastAsia" w:ascii="Times New Roman" w:hAnsi="Times New Roman"/>
          <w:sz w:val="20"/>
          <w:szCs w:val="20"/>
          <w:lang w:val="en-US" w:eastAsia="zh-CN"/>
        </w:rPr>
        <w:t xml:space="preserve">network. </w:t>
      </w:r>
    </w:p>
    <w:p>
      <w:pPr>
        <w:jc w:val="center"/>
      </w:pPr>
      <w:r>
        <w:object>
          <v:shape id="_x0000_i1025" o:spt="75" type="#_x0000_t75" style="height:145.15pt;width:245.8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jc w:val="both"/>
        <w:rPr>
          <w:rFonts w:hint="default" w:eastAsia="宋体"/>
          <w:lang w:val="en-US" w:eastAsia="zh-CN"/>
        </w:rPr>
      </w:pPr>
      <w:r>
        <w:rPr>
          <w:rFonts w:hint="eastAsia" w:eastAsia="宋体"/>
          <w:lang w:val="en-US" w:eastAsia="zh-CN"/>
        </w:rPr>
        <w:t xml:space="preserve">Figure 1 </w:t>
      </w:r>
      <w:r>
        <w:rPr>
          <w:lang w:eastAsia="zh-CN"/>
        </w:rPr>
        <w:t>A sketch of near-far effect in different scenarios: (a) Terrestrial Network; (b) NTN</w:t>
      </w:r>
    </w:p>
    <w:p>
      <w:pPr>
        <w:jc w:val="both"/>
        <w:rPr>
          <w:rFonts w:hint="eastAsia" w:ascii="Times New Roman" w:hAnsi="Times New Roman"/>
          <w:sz w:val="20"/>
          <w:szCs w:val="20"/>
          <w:lang w:val="en-US" w:eastAsia="zh-CN"/>
        </w:rPr>
      </w:pPr>
    </w:p>
    <w:p>
      <w:pPr>
        <w:pStyle w:val="17"/>
        <w:numPr>
          <w:ilvl w:val="-1"/>
          <w:numId w:val="0"/>
        </w:numPr>
        <w:spacing w:line="260" w:lineRule="auto"/>
        <w:ind w:left="1304" w:hanging="1304"/>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Observation 1 Measurement triggering quantity of RSRP may not work well for non-terrestrial network.</w:t>
      </w:r>
      <w:bookmarkStart w:id="3" w:name="_GoBack"/>
      <w:bookmarkEnd w:id="3"/>
    </w:p>
    <w:p>
      <w:pPr>
        <w:jc w:val="both"/>
        <w:rPr>
          <w:rFonts w:hint="default" w:ascii="Times New Roman" w:hAnsi="Times New Roman"/>
          <w:sz w:val="20"/>
          <w:szCs w:val="20"/>
          <w:lang w:val="en-US" w:eastAsia="zh-CN"/>
        </w:rPr>
      </w:pPr>
    </w:p>
    <w:p>
      <w:pPr>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In NTN, three types of cells are supported:</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Earth-fixed: provisioned by beam(s) continuously covering the same geographical areas all the time (e.g., the case of GSO satellites);</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Quasi-Earth-fixed: provisioned by beam(s) covering one geographic area for a limited period and a different geographic area during another period (e.g., the case of NGSO satellites generating steerable beams);</w:t>
      </w:r>
    </w:p>
    <w:p>
      <w:pPr>
        <w:pStyle w:val="20"/>
        <w:jc w:val="both"/>
        <w:rPr>
          <w:rFonts w:hint="eastAsia" w:ascii="Times New Roman" w:hAnsi="Times New Roman"/>
          <w:sz w:val="20"/>
          <w:szCs w:val="20"/>
          <w:lang w:val="en-US" w:eastAsia="zh-CN"/>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Earth-moving: provisioned by beam(s) whose coverage area slides over the Earth surface (e.g., the case of NGSO satellites generating fixed or non-steerable beams).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(quasi-)earth fixed cells, the NTN cell covers certain </w:t>
      </w:r>
      <w:r>
        <w:rPr>
          <w:rFonts w:ascii="Times New Roman" w:hAnsi="Times New Roman" w:eastAsia="MS Mincho" w:cs="Times New Roman"/>
          <w:sz w:val="20"/>
          <w:szCs w:val="20"/>
          <w:lang w:val="en-GB" w:eastAsia="en-GB" w:bidi="ar-SA"/>
        </w:rPr>
        <w:t>geographical areas</w:t>
      </w:r>
      <w:r>
        <w:rPr>
          <w:rFonts w:hint="eastAsia" w:ascii="Times New Roman" w:hAnsi="Times New Roman" w:eastAsia="宋体" w:cs="Times New Roman"/>
          <w:sz w:val="20"/>
          <w:szCs w:val="20"/>
          <w:lang w:val="en-US" w:eastAsia="zh-CN" w:bidi="ar-SA"/>
        </w:rPr>
        <w:t xml:space="preserve"> and provide service for that area </w:t>
      </w:r>
      <w:r>
        <w:rPr>
          <w:rFonts w:hint="eastAsia" w:ascii="Times New Roman" w:hAnsi="Times New Roman"/>
          <w:sz w:val="20"/>
          <w:szCs w:val="20"/>
          <w:lang w:val="en-US" w:eastAsia="zh-CN"/>
        </w:rPr>
        <w:t xml:space="preserve">at certain time. As NTN cells normally provide much larger coverage than TN cells and most of the NB-IoT UEs are low mobility, so for the UEs at the near point and the middle near point, there is no need to perform neighbour cell measurements before the service stop time. For the UEs at the far point, it may need to perform neighbour cell measurements before the service stop time. </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earth moving cells, although the NB-IoT UEs move slowly, the distance between the satellite and the UE changes obviously due to satellite movement, and it may need to perform neighbour cell measurements before the satellite stops serving the location of the UE.   </w:t>
      </w:r>
    </w:p>
    <w:p>
      <w:pPr>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As it has been agreed in R17 IoT-NTN that network will broadcast the ephemeris and the service stop time of the satellite and that the IoT-NTN UE should have GNSS capability, so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obtained by IoT-NTN UEs. As analyzed above,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taken into account as an measurement triggering quantity for NB-IoT in NTN.</w:t>
      </w:r>
    </w:p>
    <w:p>
      <w:pPr>
        <w:jc w:val="both"/>
        <w:rPr>
          <w:rFonts w:hint="default" w:eastAsia="宋体"/>
          <w:lang w:val="en-US" w:eastAsia="zh-CN"/>
        </w:rPr>
      </w:pPr>
    </w:p>
    <w:p>
      <w:pPr>
        <w:pStyle w:val="17"/>
        <w:numPr>
          <w:ilvl w:val="0"/>
          <w:numId w:val="4"/>
        </w:numPr>
        <w:overflowPunct/>
        <w:autoSpaceDE/>
        <w:autoSpaceDN/>
        <w:adjustRightInd/>
        <w:spacing w:line="259" w:lineRule="auto"/>
        <w:jc w:val="both"/>
        <w:textAlignment w:val="auto"/>
      </w:pPr>
      <w:r>
        <w:rPr>
          <w:rFonts w:hint="eastAsia" w:ascii="Times New Roman" w:hAnsi="Times New Roman"/>
          <w:sz w:val="20"/>
          <w:szCs w:val="20"/>
          <w:highlight w:val="none"/>
          <w:lang w:val="en-US" w:eastAsia="zh-CN"/>
        </w:rPr>
        <w:t>The distance between the</w:t>
      </w:r>
      <w:r>
        <w:rPr>
          <w:rFonts w:hint="eastAsia" w:ascii="Times New Roman" w:hAnsi="Times New Roman"/>
          <w:sz w:val="20"/>
          <w:szCs w:val="20"/>
          <w:lang w:val="en-US" w:eastAsia="zh-CN"/>
        </w:rPr>
        <w:t xml:space="preserv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taken into account as an measurement triggering quantity for NB-IoT in NTN.</w:t>
      </w:r>
    </w:p>
    <w:p>
      <w:pPr>
        <w:jc w:val="both"/>
        <w:rPr>
          <w:rFonts w:hint="default" w:eastAsia="宋体"/>
          <w:lang w:val="en-US" w:eastAsia="zh-CN"/>
        </w:rPr>
      </w:pPr>
    </w:p>
    <w:p>
      <w:pPr>
        <w:jc w:val="both"/>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I</w:t>
      </w:r>
      <w:r>
        <w:rPr>
          <w:rFonts w:hint="default" w:ascii="Times New Roman" w:hAnsi="Times New Roman" w:eastAsia="微软雅黑" w:cs="Times New Roman"/>
          <w:sz w:val="20"/>
          <w:szCs w:val="20"/>
        </w:rPr>
        <w:t>n Rel-17 NR NTN</w:t>
      </w:r>
      <w:r>
        <w:rPr>
          <w:rFonts w:hint="default" w:ascii="Times New Roman" w:hAnsi="Times New Roman" w:eastAsia="微软雅黑" w:cs="Times New Roman"/>
          <w:sz w:val="20"/>
          <w:szCs w:val="20"/>
          <w:lang w:val="en-US" w:eastAsia="zh-CN"/>
        </w:rPr>
        <w:t xml:space="preserve">, it </w:t>
      </w:r>
      <w:r>
        <w:rPr>
          <w:rFonts w:hint="default" w:ascii="Times New Roman" w:hAnsi="Times New Roman" w:eastAsia="微软雅黑" w:cs="Times New Roman"/>
          <w:sz w:val="20"/>
          <w:szCs w:val="20"/>
          <w:lang w:eastAsia="zh-CN"/>
        </w:rPr>
        <w:t>supports the following additional triggering conditions upon which UE may execute CHO to a candidate cell</w:t>
      </w:r>
      <w:r>
        <w:rPr>
          <w:rFonts w:hint="default" w:ascii="Times New Roman" w:hAnsi="Times New Roman" w:eastAsia="微软雅黑" w:cs="Times New Roman"/>
          <w:sz w:val="20"/>
          <w:szCs w:val="20"/>
          <w:lang w:val="en-US" w:eastAsia="zh-CN"/>
        </w:rPr>
        <w:t>:</w:t>
      </w:r>
    </w:p>
    <w:p>
      <w:pPr>
        <w:pStyle w:val="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event A4;</w:t>
      </w:r>
    </w:p>
    <w:p>
      <w:pPr>
        <w:pStyle w:val="20"/>
        <w:jc w:val="both"/>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A time-based trigger condition;</w:t>
      </w:r>
    </w:p>
    <w:p>
      <w:pPr>
        <w:pStyle w:val="20"/>
        <w:jc w:val="both"/>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A location-based trigger condition.</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A time-based or a location-based trigger condition is always configured together with one of the the measurement-based trigger conditions (CHO events A3/A4/A5). Location is defined by the distance between UE and a reference location</w:t>
      </w:r>
      <w:r>
        <w:rPr>
          <w:rFonts w:hint="eastAsia" w:ascii="Times New Roman" w:hAnsi="Times New Roman" w:cs="Times New Roman"/>
          <w:sz w:val="20"/>
          <w:szCs w:val="20"/>
          <w:lang w:val="en-US" w:eastAsia="zh-CN"/>
        </w:rPr>
        <w:t>, i.e. CondEvent D1</w:t>
      </w:r>
      <w:r>
        <w:rPr>
          <w:rFonts w:hint="default" w:ascii="Times New Roman" w:hAnsi="Times New Roman" w:cs="Times New Roman"/>
          <w:sz w:val="20"/>
          <w:szCs w:val="20"/>
          <w:lang w:eastAsia="zh-CN"/>
        </w:rPr>
        <w:t>. Time is defined by the time between T1 and T2, where T1 is an absolute time value and T2 is a duration started at T1</w:t>
      </w:r>
      <w:r>
        <w:rPr>
          <w:rFonts w:hint="eastAsia" w:ascii="Times New Roman" w:hAnsi="Times New Roman" w:cs="Times New Roman"/>
          <w:sz w:val="20"/>
          <w:szCs w:val="20"/>
          <w:lang w:val="en-US" w:eastAsia="zh-CN"/>
        </w:rPr>
        <w:t>,i.e. CondEvent T1</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p>
    <w:p>
      <w:pPr>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eMTC, it also supports CHO, so the same </w:t>
      </w:r>
      <w:r>
        <w:rPr>
          <w:rFonts w:hint="default" w:ascii="Times New Roman" w:hAnsi="Times New Roman" w:cs="Times New Roman"/>
          <w:sz w:val="20"/>
          <w:szCs w:val="20"/>
          <w:lang w:eastAsia="zh-CN"/>
        </w:rPr>
        <w:t>triggering conditions</w:t>
      </w:r>
      <w:r>
        <w:rPr>
          <w:rFonts w:hint="default" w:ascii="Times New Roman" w:hAnsi="Times New Roman" w:cs="Times New Roman"/>
          <w:sz w:val="20"/>
          <w:szCs w:val="20"/>
          <w:lang w:val="en-US" w:eastAsia="zh-CN"/>
        </w:rPr>
        <w:t xml:space="preserve"> can also be introduced for eMTC in NTN and maybe </w:t>
      </w:r>
      <w:r>
        <w:rPr>
          <w:rFonts w:hint="default" w:ascii="Times New Roman" w:hAnsi="Times New Roman" w:cs="Times New Roman"/>
          <w:sz w:val="20"/>
          <w:szCs w:val="20"/>
        </w:rPr>
        <w:t>minimum changes</w:t>
      </w:r>
      <w:r>
        <w:rPr>
          <w:rFonts w:hint="default" w:ascii="Times New Roman" w:hAnsi="Times New Roman" w:eastAsia="宋体" w:cs="Times New Roman"/>
          <w:sz w:val="20"/>
          <w:szCs w:val="20"/>
          <w:lang w:val="en-US" w:eastAsia="zh-CN"/>
        </w:rPr>
        <w:t xml:space="preserve"> can be </w:t>
      </w:r>
      <w:r>
        <w:rPr>
          <w:rFonts w:hint="default" w:ascii="Times New Roman" w:hAnsi="Times New Roman" w:cs="Times New Roman"/>
          <w:sz w:val="20"/>
          <w:szCs w:val="20"/>
        </w:rPr>
        <w:t>adapt</w:t>
      </w:r>
      <w:r>
        <w:rPr>
          <w:rFonts w:hint="default" w:ascii="Times New Roman" w:hAnsi="Times New Roman" w:eastAsia="宋体" w:cs="Times New Roman"/>
          <w:sz w:val="20"/>
          <w:szCs w:val="20"/>
          <w:lang w:val="en-US" w:eastAsia="zh-CN"/>
        </w:rPr>
        <w:t>ed if found necessary.</w:t>
      </w:r>
    </w:p>
    <w:p>
      <w:pPr>
        <w:pStyle w:val="17"/>
        <w:numPr>
          <w:ilvl w:val="0"/>
          <w:numId w:val="4"/>
        </w:numPr>
        <w:overflowPunct/>
        <w:autoSpaceDE/>
        <w:autoSpaceDN/>
        <w:adjustRightInd/>
        <w:spacing w:line="259" w:lineRule="auto"/>
        <w:jc w:val="both"/>
        <w:textAlignment w:val="auto"/>
        <w:rPr>
          <w:rFonts w:hint="default" w:eastAsia="宋体"/>
          <w:lang w:val="en-US" w:eastAsia="zh-CN"/>
        </w:rPr>
      </w:pPr>
      <w:bookmarkStart w:id="2" w:name="OLE_LINK1"/>
      <w:r>
        <w:rPr>
          <w:rFonts w:hint="default" w:ascii="Times New Roman" w:hAnsi="Times New Roman" w:eastAsia="宋体" w:cs="Times New Roman"/>
          <w:sz w:val="20"/>
          <w:szCs w:val="20"/>
          <w:lang w:val="en-US" w:eastAsia="zh-CN"/>
        </w:rPr>
        <w:t xml:space="preserve">The </w:t>
      </w:r>
      <w:r>
        <w:rPr>
          <w:rFonts w:hint="default" w:ascii="Times New Roman" w:hAnsi="Times New Roman" w:cs="Times New Roman"/>
          <w:sz w:val="20"/>
          <w:szCs w:val="20"/>
          <w:lang w:eastAsia="zh-CN"/>
        </w:rPr>
        <w:t>time-based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eastAsia="zh-CN"/>
        </w:rPr>
        <w:t>location-based triggering conditions</w:t>
      </w:r>
      <w:r>
        <w:rPr>
          <w:rFonts w:hint="default" w:ascii="Times New Roman" w:hAnsi="Times New Roman" w:cs="Times New Roman"/>
          <w:sz w:val="20"/>
          <w:szCs w:val="20"/>
          <w:lang w:val="en-US" w:eastAsia="zh-CN"/>
        </w:rPr>
        <w:t xml:space="preserve"> can be introduced in CHO for eMTC in NTN</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with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minimum changes</w:t>
      </w:r>
      <w:r>
        <w:rPr>
          <w:rFonts w:hint="default" w:ascii="Times New Roman" w:hAnsi="Times New Roman" w:eastAsia="宋体" w:cs="Times New Roman"/>
          <w:sz w:val="20"/>
          <w:szCs w:val="20"/>
          <w:lang w:val="en-US" w:eastAsia="zh-CN"/>
        </w:rPr>
        <w:t xml:space="preserve"> if found necessary.</w:t>
      </w:r>
    </w:p>
    <w:bookmarkEnd w:id="2"/>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mobility enhancemen</w:t>
      </w:r>
      <w:r>
        <w:rPr>
          <w:rFonts w:hint="eastAsia" w:ascii="Times New Roman" w:hAnsi="Times New Roman" w:eastAsia="宋体" w:cs="Times New Roman"/>
          <w:color w:val="000000" w:themeColor="text1"/>
          <w:lang w:val="en-US" w:eastAsia="zh-CN"/>
          <w14:textFill>
            <w14:solidFill>
              <w14:schemeClr w14:val="tx1"/>
            </w14:solidFill>
          </w14:textFill>
        </w:rPr>
        <w:t>t</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0"/>
        </w:numPr>
        <w:spacing w:line="260" w:lineRule="auto"/>
        <w:ind w:left="1304" w:hanging="1304"/>
        <w:jc w:val="both"/>
        <w:rPr>
          <w:rFonts w:hint="default" w:ascii="Times New Roman" w:hAnsi="Times New Roman" w:cs="Times New Roman"/>
          <w:color w:val="000000" w:themeColor="text1"/>
          <w:lang w:val="en-US"/>
          <w14:textFill>
            <w14:solidFill>
              <w14:schemeClr w14:val="tx1"/>
            </w14:solidFill>
          </w14:textFill>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pStyle w:val="17"/>
        <w:numPr>
          <w:ilvl w:val="0"/>
          <w:numId w:val="5"/>
        </w:numPr>
        <w:overflowPunct/>
        <w:autoSpaceDE/>
        <w:autoSpaceDN/>
        <w:adjustRightInd/>
        <w:spacing w:line="259" w:lineRule="auto"/>
        <w:jc w:val="both"/>
        <w:textAlignment w:val="auto"/>
        <w:rPr>
          <w:rFonts w:hint="default"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The distance between the satellite and the UE as well as the time of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stopping servicing time can be taken into account as an measurement triggering quantity for NB-IoT in NTN.</w:t>
      </w:r>
    </w:p>
    <w:p>
      <w:pPr>
        <w:pStyle w:val="17"/>
        <w:numPr>
          <w:ilvl w:val="0"/>
          <w:numId w:val="5"/>
        </w:numPr>
        <w:overflowPunct/>
        <w:autoSpaceDE/>
        <w:autoSpaceDN/>
        <w:adjustRightInd/>
        <w:spacing w:line="259" w:lineRule="auto"/>
        <w:jc w:val="both"/>
        <w:textAlignment w:val="auto"/>
        <w:rPr>
          <w:rFonts w:hint="eastAsia"/>
          <w:lang w:val="en-US" w:eastAsia="zh-CN"/>
        </w:rPr>
      </w:pPr>
      <w:r>
        <w:rPr>
          <w:rFonts w:hint="default" w:ascii="Times New Roman" w:hAnsi="Times New Roman" w:cs="Times New Roman"/>
          <w:sz w:val="21"/>
          <w:szCs w:val="20"/>
          <w:lang w:val="en-US" w:eastAsia="zh-CN"/>
        </w:rPr>
        <w:t>The time-based and location-based triggering conditions can be introduced in CHO for eMTC in NTN</w:t>
      </w:r>
      <w:r>
        <w:rPr>
          <w:rFonts w:hint="eastAsia" w:ascii="Times New Roman" w:hAnsi="Times New Roman" w:cs="Times New Roman"/>
          <w:sz w:val="21"/>
          <w:szCs w:val="20"/>
          <w:lang w:val="en-US" w:eastAsia="zh-CN"/>
        </w:rPr>
        <w:t>,</w:t>
      </w:r>
      <w:r>
        <w:rPr>
          <w:rFonts w:hint="default" w:ascii="Times New Roman" w:hAnsi="Times New Roman" w:cs="Times New Roman"/>
          <w:sz w:val="21"/>
          <w:szCs w:val="20"/>
          <w:lang w:val="en-US" w:eastAsia="zh-CN"/>
        </w:rPr>
        <w:t xml:space="preserve"> </w:t>
      </w:r>
      <w:r>
        <w:rPr>
          <w:rFonts w:hint="eastAsia" w:ascii="Times New Roman" w:hAnsi="Times New Roman" w:cs="Times New Roman"/>
          <w:sz w:val="21"/>
          <w:szCs w:val="20"/>
          <w:lang w:val="en-US" w:eastAsia="zh-CN"/>
        </w:rPr>
        <w:t>with</w:t>
      </w:r>
      <w:r>
        <w:rPr>
          <w:rFonts w:hint="default" w:ascii="Times New Roman" w:hAnsi="Times New Roman" w:cs="Times New Roman"/>
          <w:sz w:val="21"/>
          <w:szCs w:val="20"/>
          <w:lang w:val="en-US" w:eastAsia="zh-CN"/>
        </w:rPr>
        <w:t xml:space="preserve"> minimum changes if found necessary.</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cs="Arial"/>
          <w:sz w:val="22"/>
          <w:szCs w:val="22"/>
        </w:rPr>
      </w:pPr>
      <w:r>
        <w:rPr>
          <w:rFonts w:cs="Arial"/>
          <w:sz w:val="22"/>
          <w:szCs w:val="22"/>
        </w:rPr>
        <w:t xml:space="preserve"> “</w:t>
      </w:r>
      <w:r>
        <w:rPr>
          <w:rFonts w:hint="eastAsia" w:cs="Arial"/>
          <w:sz w:val="22"/>
          <w:szCs w:val="22"/>
        </w:rPr>
        <w:t>3GPP TR 38.821 V16.1.0</w:t>
      </w:r>
      <w:r>
        <w:rPr>
          <w:rFonts w:cs="Arial"/>
          <w:sz w:val="22"/>
          <w:szCs w:val="22"/>
        </w:rPr>
        <w:t>”</w:t>
      </w:r>
    </w:p>
    <w:p>
      <w:pPr>
        <w:pStyle w:val="6"/>
        <w:numPr>
          <w:ilvl w:val="0"/>
          <w:numId w:val="6"/>
        </w:numPr>
        <w:spacing w:after="0"/>
        <w:jc w:val="both"/>
        <w:rPr>
          <w:rFonts w:hint="default"/>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“Draft_Minutes_report_RAN1#109-e_v030.docx”</w:t>
      </w:r>
    </w:p>
    <w:p>
      <w:pPr>
        <w:pStyle w:val="6"/>
        <w:numPr>
          <w:ilvl w:val="0"/>
          <w:numId w:val="6"/>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“RP-221806</w:t>
      </w:r>
      <w:r>
        <w:rPr>
          <w:rFonts w:hint="eastAsia" w:eastAsia="宋体" w:cs="Arial"/>
          <w:sz w:val="22"/>
          <w:szCs w:val="22"/>
          <w:lang w:val="en-US" w:eastAsia="zh-CN"/>
        </w:rPr>
        <w:t xml:space="preserve"> Revised WID on IoT NTN enhancements</w:t>
      </w:r>
      <w:r>
        <w:rPr>
          <w:rFonts w:hint="default" w:eastAsia="宋体" w:cs="Arial"/>
          <w:sz w:val="22"/>
          <w:szCs w:val="22"/>
          <w:lang w:val="en-US" w:eastAsia="zh-CN"/>
        </w:rPr>
        <w:t>”</w:t>
      </w:r>
    </w:p>
    <w:p>
      <w:pPr>
        <w:pStyle w:val="6"/>
        <w:numPr>
          <w:ilvl w:val="0"/>
          <w:numId w:val="6"/>
        </w:numPr>
        <w:spacing w:after="0"/>
        <w:jc w:val="both"/>
        <w:rPr>
          <w:rFonts w:hint="default"/>
          <w:sz w:val="21"/>
          <w:lang w:val="en-US"/>
        </w:rPr>
      </w:pPr>
      <w:r>
        <w:rPr>
          <w:rFonts w:hint="eastAsia" w:eastAsia="宋体"/>
          <w:sz w:val="21"/>
          <w:lang w:val="en-US" w:eastAsia="zh-CN"/>
        </w:rPr>
        <w:t xml:space="preserve"> </w:t>
      </w:r>
      <w:r>
        <w:rPr>
          <w:rFonts w:hint="default" w:eastAsia="宋体"/>
          <w:sz w:val="21"/>
          <w:lang w:val="en-US" w:eastAsia="zh-CN"/>
        </w:rPr>
        <w:t>“</w:t>
      </w:r>
      <w:r>
        <w:rPr>
          <w:rFonts w:hint="default"/>
          <w:sz w:val="21"/>
          <w:lang w:val="en-US"/>
        </w:rPr>
        <w:t>3GPP TS 38.300 V17.1.0</w:t>
      </w:r>
      <w:r>
        <w:rPr>
          <w:rFonts w:hint="default" w:eastAsia="宋体"/>
          <w:sz w:val="21"/>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37D4A98"/>
    <w:rsid w:val="04BA00BC"/>
    <w:rsid w:val="05A17499"/>
    <w:rsid w:val="05F02177"/>
    <w:rsid w:val="06AD14D1"/>
    <w:rsid w:val="074434AD"/>
    <w:rsid w:val="077E1DF5"/>
    <w:rsid w:val="08705469"/>
    <w:rsid w:val="0871778C"/>
    <w:rsid w:val="09242B66"/>
    <w:rsid w:val="09AA20D3"/>
    <w:rsid w:val="09C8159B"/>
    <w:rsid w:val="0A083CCF"/>
    <w:rsid w:val="0A296EBB"/>
    <w:rsid w:val="0A522E33"/>
    <w:rsid w:val="0C480592"/>
    <w:rsid w:val="0C8B3F6C"/>
    <w:rsid w:val="0CDF38AA"/>
    <w:rsid w:val="0D701E08"/>
    <w:rsid w:val="0DAF7C6F"/>
    <w:rsid w:val="0F054467"/>
    <w:rsid w:val="0F711142"/>
    <w:rsid w:val="0F846F16"/>
    <w:rsid w:val="10664121"/>
    <w:rsid w:val="10D97A01"/>
    <w:rsid w:val="110E3FBC"/>
    <w:rsid w:val="1259446D"/>
    <w:rsid w:val="12CA4226"/>
    <w:rsid w:val="134C4354"/>
    <w:rsid w:val="13D7274C"/>
    <w:rsid w:val="142030D3"/>
    <w:rsid w:val="151764BF"/>
    <w:rsid w:val="15F639C0"/>
    <w:rsid w:val="166A6E0A"/>
    <w:rsid w:val="16FF7648"/>
    <w:rsid w:val="172B15A5"/>
    <w:rsid w:val="178B0B4D"/>
    <w:rsid w:val="17AE7B7C"/>
    <w:rsid w:val="18891BE5"/>
    <w:rsid w:val="18C4408C"/>
    <w:rsid w:val="19033124"/>
    <w:rsid w:val="190C3624"/>
    <w:rsid w:val="192B61EE"/>
    <w:rsid w:val="19FC3902"/>
    <w:rsid w:val="1B4F2E04"/>
    <w:rsid w:val="1B7F05AA"/>
    <w:rsid w:val="1D5C422C"/>
    <w:rsid w:val="1D72553F"/>
    <w:rsid w:val="1DB61295"/>
    <w:rsid w:val="1E837BE2"/>
    <w:rsid w:val="1FF75154"/>
    <w:rsid w:val="21272772"/>
    <w:rsid w:val="217D10FE"/>
    <w:rsid w:val="218C3C37"/>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9E3F8A"/>
    <w:rsid w:val="2ABE6C52"/>
    <w:rsid w:val="2ABF7B59"/>
    <w:rsid w:val="2B1B574F"/>
    <w:rsid w:val="2BAE55E1"/>
    <w:rsid w:val="2C151E25"/>
    <w:rsid w:val="2EDC2122"/>
    <w:rsid w:val="2F4F1C42"/>
    <w:rsid w:val="2FCB0EFA"/>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A7C338E"/>
    <w:rsid w:val="3B7F12E7"/>
    <w:rsid w:val="3BD561D8"/>
    <w:rsid w:val="3BE31C32"/>
    <w:rsid w:val="3C752CAA"/>
    <w:rsid w:val="3C93695A"/>
    <w:rsid w:val="3F3A2108"/>
    <w:rsid w:val="402D6EED"/>
    <w:rsid w:val="40572BA6"/>
    <w:rsid w:val="40575782"/>
    <w:rsid w:val="41A229C0"/>
    <w:rsid w:val="421B5540"/>
    <w:rsid w:val="427F40C3"/>
    <w:rsid w:val="440B0F36"/>
    <w:rsid w:val="44724F1D"/>
    <w:rsid w:val="448E1E9E"/>
    <w:rsid w:val="44D90FC8"/>
    <w:rsid w:val="44DD285F"/>
    <w:rsid w:val="45982D3F"/>
    <w:rsid w:val="466B78DE"/>
    <w:rsid w:val="47755220"/>
    <w:rsid w:val="47B61984"/>
    <w:rsid w:val="48224C4E"/>
    <w:rsid w:val="4A212B31"/>
    <w:rsid w:val="4A475B7C"/>
    <w:rsid w:val="4A892E1A"/>
    <w:rsid w:val="4BA75289"/>
    <w:rsid w:val="4CA501B4"/>
    <w:rsid w:val="4CEB6606"/>
    <w:rsid w:val="4DE56289"/>
    <w:rsid w:val="4EF2504D"/>
    <w:rsid w:val="4FC5637B"/>
    <w:rsid w:val="4FE74116"/>
    <w:rsid w:val="512637BE"/>
    <w:rsid w:val="51292B01"/>
    <w:rsid w:val="512C578B"/>
    <w:rsid w:val="53EA6F9A"/>
    <w:rsid w:val="53F070C1"/>
    <w:rsid w:val="545D2BA8"/>
    <w:rsid w:val="547C7626"/>
    <w:rsid w:val="54A934E9"/>
    <w:rsid w:val="55B4202C"/>
    <w:rsid w:val="5A0B65E0"/>
    <w:rsid w:val="5A6C32D7"/>
    <w:rsid w:val="5C5D662E"/>
    <w:rsid w:val="5D53233E"/>
    <w:rsid w:val="5E032063"/>
    <w:rsid w:val="5E3C4F06"/>
    <w:rsid w:val="5EE34F16"/>
    <w:rsid w:val="5EF55435"/>
    <w:rsid w:val="5F245E28"/>
    <w:rsid w:val="5FBE6E63"/>
    <w:rsid w:val="60507E6D"/>
    <w:rsid w:val="61B805F3"/>
    <w:rsid w:val="6227137B"/>
    <w:rsid w:val="64082F38"/>
    <w:rsid w:val="643816EF"/>
    <w:rsid w:val="6442112C"/>
    <w:rsid w:val="646D6FF1"/>
    <w:rsid w:val="64E400F0"/>
    <w:rsid w:val="651D381A"/>
    <w:rsid w:val="655855F6"/>
    <w:rsid w:val="65C620D8"/>
    <w:rsid w:val="668F0881"/>
    <w:rsid w:val="66EE5EB2"/>
    <w:rsid w:val="67501472"/>
    <w:rsid w:val="6770270C"/>
    <w:rsid w:val="67E57609"/>
    <w:rsid w:val="68136DF9"/>
    <w:rsid w:val="68467009"/>
    <w:rsid w:val="685A4CFC"/>
    <w:rsid w:val="68835C7D"/>
    <w:rsid w:val="68843869"/>
    <w:rsid w:val="68B056ED"/>
    <w:rsid w:val="68D74AB5"/>
    <w:rsid w:val="69957377"/>
    <w:rsid w:val="6A2A1BFB"/>
    <w:rsid w:val="6B230E25"/>
    <w:rsid w:val="6BBD35E1"/>
    <w:rsid w:val="6D186743"/>
    <w:rsid w:val="6D912D15"/>
    <w:rsid w:val="6DB773DA"/>
    <w:rsid w:val="6F3D4C39"/>
    <w:rsid w:val="6F7A7829"/>
    <w:rsid w:val="6F8945E5"/>
    <w:rsid w:val="7000610B"/>
    <w:rsid w:val="701647AB"/>
    <w:rsid w:val="71E9466D"/>
    <w:rsid w:val="728F5634"/>
    <w:rsid w:val="72DA7BC8"/>
    <w:rsid w:val="732F74F2"/>
    <w:rsid w:val="733629F2"/>
    <w:rsid w:val="73510555"/>
    <w:rsid w:val="736B747C"/>
    <w:rsid w:val="736F3978"/>
    <w:rsid w:val="739F626B"/>
    <w:rsid w:val="7541042C"/>
    <w:rsid w:val="755D5E57"/>
    <w:rsid w:val="758B55DE"/>
    <w:rsid w:val="75D904B6"/>
    <w:rsid w:val="7733395D"/>
    <w:rsid w:val="77E058FB"/>
    <w:rsid w:val="78071F72"/>
    <w:rsid w:val="78774C15"/>
    <w:rsid w:val="78827AE1"/>
    <w:rsid w:val="799465E1"/>
    <w:rsid w:val="79D35A65"/>
    <w:rsid w:val="79DF4049"/>
    <w:rsid w:val="7A102ABD"/>
    <w:rsid w:val="7A2F2424"/>
    <w:rsid w:val="7B84483F"/>
    <w:rsid w:val="7C1164A2"/>
    <w:rsid w:val="7C5B2870"/>
    <w:rsid w:val="7D876979"/>
    <w:rsid w:val="7DCB2B8A"/>
    <w:rsid w:val="7DDD21DB"/>
    <w:rsid w:val="7DE704AF"/>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2022-08-10T02:01:20Z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